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color w:val="4c216d"/>
          <w:sz w:val="28.079999923706055"/>
          <w:szCs w:val="28.079999923706055"/>
        </w:rPr>
      </w:pPr>
      <w:r w:rsidDel="00000000" w:rsidR="00000000" w:rsidRPr="00000000">
        <w:rPr>
          <w:b w:val="1"/>
          <w:i w:val="1"/>
          <w:color w:val="4c216d"/>
          <w:sz w:val="28.079999923706055"/>
          <w:szCs w:val="28.079999923706055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6143625</wp:posOffset>
            </wp:positionH>
            <wp:positionV relativeFrom="page">
              <wp:posOffset>142875</wp:posOffset>
            </wp:positionV>
            <wp:extent cx="1443311" cy="56197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311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color w:val="4c216d"/>
          <w:sz w:val="28.079999923706055"/>
          <w:szCs w:val="28.079999923706055"/>
        </w:rPr>
      </w:pPr>
      <w:r w:rsidDel="00000000" w:rsidR="00000000" w:rsidRPr="00000000">
        <w:rPr>
          <w:b w:val="1"/>
          <w:i w:val="1"/>
          <w:color w:val="4c216d"/>
          <w:sz w:val="28.079999923706055"/>
          <w:szCs w:val="28.079999923706055"/>
          <w:rtl w:val="0"/>
        </w:rPr>
        <w:t xml:space="preserve">Alliance for Research in Chicagoland Communities 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720" w:firstLine="720"/>
        <w:rPr>
          <w:i w:val="1"/>
          <w:sz w:val="28.079999923706055"/>
          <w:szCs w:val="28.079999923706055"/>
        </w:rPr>
      </w:pPr>
      <w:r w:rsidDel="00000000" w:rsidR="00000000" w:rsidRPr="00000000">
        <w:rPr>
          <w:b w:val="1"/>
          <w:i w:val="1"/>
          <w:color w:val="4c216d"/>
          <w:sz w:val="28.079999923706055"/>
          <w:szCs w:val="28.079999923706055"/>
          <w:rtl w:val="0"/>
        </w:rPr>
        <w:t xml:space="preserve"> </w:t>
      </w:r>
      <w:r w:rsidDel="00000000" w:rsidR="00000000" w:rsidRPr="00000000">
        <w:rPr>
          <w:i w:val="1"/>
          <w:sz w:val="28.079999923706055"/>
          <w:szCs w:val="28.079999923706055"/>
          <w:rtl w:val="0"/>
        </w:rPr>
        <w:t xml:space="preserve">Center for Community Health, Northwestern University </w:t>
      </w:r>
    </w:p>
    <w:p w:rsidR="00000000" w:rsidDel="00000000" w:rsidP="00000000" w:rsidRDefault="00000000" w:rsidRPr="00000000" w14:paraId="00000004">
      <w:pPr>
        <w:widowControl w:val="0"/>
        <w:spacing w:before="260.263671875" w:line="240" w:lineRule="auto"/>
        <w:jc w:val="center"/>
        <w:rPr>
          <w:highlight w:val="yellow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Associate Director, Community Collaboration and Engagement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56.680908203125" w:line="229.90804195404053" w:lineRule="auto"/>
        <w:ind w:left="3.509063720703125" w:right="120.396728515625" w:firstLine="1.439971923828125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core focus of this mission-critical position is to actively seek and form partnerships with community partners in the Chicagoland area </w:t>
      </w:r>
      <w:r w:rsidDel="00000000" w:rsidR="00000000" w:rsidRPr="00000000">
        <w:rPr>
          <w:sz w:val="24"/>
          <w:szCs w:val="24"/>
          <w:rtl w:val="0"/>
        </w:rPr>
        <w:t xml:space="preserve">(including community, faith-based, and patient advocacy organizations; public agencies; coalitions) </w:t>
      </w:r>
      <w:r w:rsidDel="00000000" w:rsidR="00000000" w:rsidRPr="00000000">
        <w:rPr>
          <w:b w:val="1"/>
          <w:sz w:val="24"/>
          <w:szCs w:val="24"/>
          <w:rtl w:val="0"/>
        </w:rPr>
        <w:t xml:space="preserve">to establish and deepen trustworthy relationships and meaningful collaborative research partnerships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that reimagine the research enterprise and shift the dynamics of power to improve health equity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sz w:val="24"/>
          <w:szCs w:val="24"/>
          <w:rtl w:val="0"/>
        </w:rPr>
        <w:t xml:space="preserve">e seek a team member that is able to build, connect, and support bridging relationships and opportunities for collaborative research 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hat honor, are driven by, and share power with communities, as local, cultural, and lived experience experts.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56.680908203125" w:line="229.90804195404053" w:lineRule="auto"/>
        <w:ind w:left="3.509063720703125" w:right="120.396728515625" w:firstLine="1.43997192382812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Established in 2008, the </w:t>
      </w:r>
      <w:r w:rsidDel="00000000" w:rsidR="00000000" w:rsidRPr="00000000">
        <w:rPr>
          <w:b w:val="1"/>
          <w:sz w:val="22.079999923706055"/>
          <w:szCs w:val="22.079999923706055"/>
          <w:highlight w:val="white"/>
          <w:rtl w:val="0"/>
        </w:rPr>
        <w:t xml:space="preserve">Alliance for Research in Chicagoland Communities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color w:val="1155cc"/>
            <w:sz w:val="22.079999923706055"/>
            <w:szCs w:val="22.079999923706055"/>
            <w:highlight w:val="white"/>
            <w:u w:val="single"/>
            <w:rtl w:val="0"/>
          </w:rPr>
          <w:t xml:space="preserve">ARCC</w:t>
        </w:r>
      </w:hyperlink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) is a program of the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Center for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Community Health</w:t>
      </w:r>
      <w:r w:rsidDel="00000000" w:rsidR="00000000" w:rsidRPr="00000000">
        <w:rPr>
          <w:b w:val="1"/>
          <w:sz w:val="22.079999923706055"/>
          <w:szCs w:val="22.079999923706055"/>
          <w:highlight w:val="white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color w:val="1155cc"/>
            <w:sz w:val="22.079999923706055"/>
            <w:szCs w:val="22.079999923706055"/>
            <w:highlight w:val="white"/>
            <w:u w:val="single"/>
            <w:rtl w:val="0"/>
          </w:rPr>
          <w:t xml:space="preserve">CCH</w:t>
        </w:r>
      </w:hyperlink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)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 and serves Northwestern’s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Institute for Public Health and Medicine (</w:t>
      </w:r>
      <w:hyperlink r:id="rId9">
        <w:r w:rsidDel="00000000" w:rsidR="00000000" w:rsidRPr="00000000">
          <w:rPr>
            <w:color w:val="1155cc"/>
            <w:sz w:val="22.079999923706055"/>
            <w:szCs w:val="22.079999923706055"/>
            <w:highlight w:val="white"/>
            <w:u w:val="single"/>
            <w:rtl w:val="0"/>
          </w:rPr>
          <w:t xml:space="preserve">IPHAM</w:t>
        </w:r>
      </w:hyperlink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)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 and the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Northwestern University Clinical and Translational Sciences Institute (</w:t>
      </w:r>
      <w:hyperlink r:id="rId10">
        <w:r w:rsidDel="00000000" w:rsidR="00000000" w:rsidRPr="00000000">
          <w:rPr>
            <w:color w:val="1155cc"/>
            <w:sz w:val="22.079999923706055"/>
            <w:szCs w:val="22.079999923706055"/>
            <w:highlight w:val="white"/>
            <w:u w:val="single"/>
            <w:rtl w:val="0"/>
          </w:rPr>
          <w:t xml:space="preserve">NUCATS</w:t>
        </w:r>
      </w:hyperlink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)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Guided by a steering committee of community- and faith -based organizations, public agencies and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Northwestern researchers, we support community- academic research partnerships by providing partnership facilitation, capacity-building resources and technical assistance, seed grants, and advocacy for supportive structural and institutional systems and policies in the research enterprise. ARCC supports the </w:t>
      </w:r>
      <w:hyperlink r:id="rId11">
        <w:r w:rsidDel="00000000" w:rsidR="00000000" w:rsidRPr="00000000">
          <w:rPr>
            <w:color w:val="1155cc"/>
            <w:sz w:val="22.079999923706055"/>
            <w:szCs w:val="22.079999923706055"/>
            <w:u w:val="single"/>
            <w:rtl w:val="0"/>
          </w:rPr>
          <w:t xml:space="preserve">CCH </w:t>
        </w:r>
      </w:hyperlink>
      <w:hyperlink r:id="rId12">
        <w:r w:rsidDel="00000000" w:rsidR="00000000" w:rsidRPr="00000000">
          <w:rPr>
            <w:color w:val="1155cc"/>
            <w:sz w:val="22.079999923706055"/>
            <w:szCs w:val="22.079999923706055"/>
            <w:u w:val="single"/>
            <w:rtl w:val="0"/>
          </w:rPr>
          <w:t xml:space="preserve">Principles of Engagemen</w:t>
        </w:r>
      </w:hyperlink>
      <w:hyperlink r:id="rId13">
        <w:r w:rsidDel="00000000" w:rsidR="00000000" w:rsidRPr="00000000">
          <w:rPr>
            <w:color w:val="1155cc"/>
            <w:sz w:val="22.079999923706055"/>
            <w:szCs w:val="22.079999923706055"/>
            <w:u w:val="single"/>
            <w:rtl w:val="0"/>
          </w:rPr>
          <w:t xml:space="preserve">t</w:t>
        </w:r>
      </w:hyperlink>
      <w:r w:rsidDel="00000000" w:rsidR="00000000" w:rsidRPr="00000000">
        <w:rPr>
          <w:b w:val="1"/>
          <w:color w:val="0082bf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and </w:t>
      </w:r>
      <w:hyperlink r:id="rId14">
        <w:r w:rsidDel="00000000" w:rsidR="00000000" w:rsidRPr="00000000">
          <w:rPr>
            <w:color w:val="1155cc"/>
            <w:sz w:val="22.079999923706055"/>
            <w:szCs w:val="22.079999923706055"/>
            <w:u w:val="single"/>
            <w:rtl w:val="0"/>
          </w:rPr>
          <w:t xml:space="preserve">anti-racism</w:t>
        </w:r>
      </w:hyperlink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in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our approach and research we support.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after="120" w:before="256.4" w:line="240" w:lineRule="auto"/>
        <w:ind w:left="8.549041748046875" w:firstLine="0"/>
        <w:rPr>
          <w:sz w:val="22.079999923706055"/>
          <w:szCs w:val="22.079999923706055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Specific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5"/>
        </w:numPr>
        <w:spacing w:after="0" w:before="12.8" w:line="264" w:lineRule="auto"/>
        <w:ind w:left="450" w:right="320.0732421875" w:hanging="36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Identifies, develops, and deepens relationships with a broad range of community partners and leads the development &amp; implementation of  vision and strategies for supporting effective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community collaboration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with new and existing partners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5"/>
        </w:numPr>
        <w:spacing w:after="0" w:before="12.8" w:line="264" w:lineRule="auto"/>
        <w:ind w:left="810" w:right="320.0732421875" w:hanging="36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Attends and represents ARCC at community meetings and civic events (may include some evening or weekend hours)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5"/>
        </w:numPr>
        <w:spacing w:after="120" w:before="12.8" w:line="264" w:lineRule="auto"/>
        <w:ind w:left="810" w:right="320.0732421875" w:hanging="36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Builds professional relationships that seek to shift power within and outside of the academic research enterprise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120" w:before="12.8" w:line="264" w:lineRule="auto"/>
        <w:ind w:left="450" w:hanging="36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Coordinates and supports ARCC Community-Academic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Steering Committee</w:t>
      </w:r>
      <w:r w:rsidDel="00000000" w:rsidR="00000000" w:rsidRPr="00000000">
        <w:rPr>
          <w:b w:val="1"/>
          <w:color w:val="00b0f0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in partnership with Committee Community and Academic Co-Chairs</w:t>
      </w:r>
      <w:r w:rsidDel="00000000" w:rsidR="00000000" w:rsidRPr="00000000">
        <w:rPr>
          <w:b w:val="1"/>
          <w:color w:val="00b0f0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(Includes leading development of</w:t>
      </w:r>
      <w:r w:rsidDel="00000000" w:rsidR="00000000" w:rsidRPr="00000000">
        <w:rPr>
          <w:highlight w:val="white"/>
          <w:rtl w:val="0"/>
        </w:rPr>
        <w:t xml:space="preserve"> monthly meeting agendas and notes, partner presentation &amp; leadership opportunities,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120" w:before="12.8" w:line="264" w:lineRule="auto"/>
        <w:ind w:left="450" w:right="0" w:hanging="36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Leads the development and delivery of capacity-building and networking resources for community partners on principles of research, research priority development, research collaboration and dissemination strategies,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120" w:before="12.8" w:line="264" w:lineRule="auto"/>
        <w:ind w:left="450" w:hanging="36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Serves and leads in coalition-building and working committees to support community &amp; other research 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20" w:before="12.8" w:line="264" w:lineRule="auto"/>
        <w:ind w:left="0" w:right="320.0732421875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6143625</wp:posOffset>
            </wp:positionH>
            <wp:positionV relativeFrom="page">
              <wp:posOffset>142875</wp:posOffset>
            </wp:positionV>
            <wp:extent cx="1443311" cy="5619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311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120" w:before="12.8" w:line="264" w:lineRule="auto"/>
        <w:ind w:left="450" w:right="320.0732421875" w:hanging="36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Serves as a trusted thought-partner and integral member of ARCC leadership team; advises on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community collaboration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strategies, strategic direction of other ARCC priorities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and </w:t>
      </w:r>
      <w:r w:rsidDel="00000000" w:rsidR="00000000" w:rsidRPr="00000000">
        <w:rPr>
          <w:highlight w:val="white"/>
          <w:rtl w:val="0"/>
        </w:rPr>
        <w:t xml:space="preserve">best practices and metrics for community impact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120" w:before="12.8" w:line="264" w:lineRule="auto"/>
        <w:ind w:left="450" w:right="0" w:hanging="36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Serves as key member of CCH Infrastructure team and p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rovides consultation on community leadership to other departments within Northwestern University and affiliated institutions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ind w:left="0" w:firstLine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58.43902587890625" w:line="240" w:lineRule="auto"/>
        <w:ind w:left="16.949081420898438" w:firstLine="0"/>
        <w:rPr>
          <w:sz w:val="22.079999923706055"/>
          <w:szCs w:val="22.079999923706055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Minimum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120" w:before="51.2" w:line="264" w:lineRule="auto"/>
        <w:ind w:left="450" w:right="564.984130859375" w:hanging="36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Strong knowledge, commu</w:t>
      </w:r>
      <w:r w:rsidDel="00000000" w:rsidR="00000000" w:rsidRPr="00000000">
        <w:rPr>
          <w:rtl w:val="0"/>
        </w:rPr>
        <w:t xml:space="preserve">nity connections, and experience in working with </w:t>
      </w:r>
      <w:r w:rsidDel="00000000" w:rsidR="00000000" w:rsidRPr="00000000">
        <w:rPr>
          <w:rtl w:val="0"/>
        </w:rPr>
        <w:t xml:space="preserve">Chicagoland communities most impacted by health inequities including </w:t>
      </w:r>
      <w:r w:rsidDel="00000000" w:rsidR="00000000" w:rsidRPr="00000000">
        <w:rPr>
          <w:color w:val="202124"/>
          <w:highlight w:val="white"/>
          <w:rtl w:val="0"/>
        </w:rPr>
        <w:t xml:space="preserve">Black, Indigenous, Latinx, Arab, Asian, LGBTQ+, and/or people living with disabilities</w:t>
      </w:r>
      <w:r w:rsidDel="00000000" w:rsidR="00000000" w:rsidRPr="00000000">
        <w:rPr>
          <w:color w:val="202124"/>
          <w:highlight w:val="white"/>
          <w:rtl w:val="0"/>
        </w:rPr>
        <w:t xml:space="preserve">, i</w:t>
      </w:r>
      <w:r w:rsidDel="00000000" w:rsidR="00000000" w:rsidRPr="00000000">
        <w:rPr>
          <w:rtl w:val="0"/>
        </w:rPr>
        <w:t xml:space="preserve">ncluding community priorities, local issues/history, etc.;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120" w:before="51.2" w:line="264" w:lineRule="auto"/>
        <w:ind w:left="450" w:right="230.71533203125" w:hanging="360"/>
        <w:rPr/>
      </w:pPr>
      <w:r w:rsidDel="00000000" w:rsidR="00000000" w:rsidRPr="00000000">
        <w:rPr>
          <w:rtl w:val="0"/>
        </w:rPr>
        <w:t xml:space="preserve">Grassroots advocacy/community organizing/coalition building or similar experience;  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120" w:before="51.2" w:line="264" w:lineRule="auto"/>
        <w:ind w:left="450" w:right="564.984130859375" w:hanging="360"/>
        <w:rPr/>
      </w:pPr>
      <w:r w:rsidDel="00000000" w:rsidR="00000000" w:rsidRPr="00000000">
        <w:rPr>
          <w:highlight w:val="white"/>
          <w:rtl w:val="0"/>
        </w:rPr>
        <w:t xml:space="preserve">A</w:t>
      </w:r>
      <w:r w:rsidDel="00000000" w:rsidR="00000000" w:rsidRPr="00000000">
        <w:rPr>
          <w:highlight w:val="white"/>
          <w:rtl w:val="0"/>
        </w:rPr>
        <w:t xml:space="preserve">ctive anti-racist, anti-oppressive lens for working relationships; challenging white supremacy tenets and traditional power dynamics, and navigating tensions existing within institutional environments;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120" w:before="51.2" w:line="264" w:lineRule="auto"/>
        <w:ind w:left="450" w:right="564.984130859375" w:hanging="360"/>
        <w:rPr/>
      </w:pPr>
      <w:r w:rsidDel="00000000" w:rsidR="00000000" w:rsidRPr="00000000">
        <w:rPr>
          <w:rtl w:val="0"/>
        </w:rPr>
        <w:t xml:space="preserve">Great communication and interpersonal skills, including public speaking, group facilitation, and writing. Able to interact effectively with a broad range of people (e.g., grassroots to institutional leadership);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120" w:before="51.2" w:line="264" w:lineRule="auto"/>
        <w:ind w:left="450" w:right="135.10986328125" w:hanging="360"/>
        <w:rPr/>
      </w:pPr>
      <w:r w:rsidDel="00000000" w:rsidR="00000000" w:rsidRPr="00000000">
        <w:rPr>
          <w:rtl w:val="0"/>
        </w:rPr>
        <w:t xml:space="preserve">Ability to independently establish and implement priorities and objectives and identify new opportunities;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before="25.968017578125" w:line="230.3071689605713" w:lineRule="auto"/>
        <w:ind w:left="450" w:right="135.10986328125" w:hanging="360"/>
        <w:rPr/>
      </w:pPr>
      <w:r w:rsidDel="00000000" w:rsidR="00000000" w:rsidRPr="00000000">
        <w:rPr>
          <w:rtl w:val="0"/>
        </w:rPr>
        <w:t xml:space="preserve">Bachelor’s degree in Public Health, Social Services/Social Work, Counseling, Psychology or related field or equivalent combination of education, training, and experience from which comparable skills can be acquired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62.89493560791016" w:lineRule="auto"/>
        <w:ind w:left="368.64501953125" w:right="417.933349609375" w:hanging="357.25433349609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258.365478515625" w:line="240" w:lineRule="auto"/>
        <w:ind w:left="17.429046630859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Preferred Qualifications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after="0" w:afterAutospacing="0" w:before="51.119384765625" w:line="240" w:lineRule="auto"/>
        <w:ind w:left="450" w:hanging="36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Master's degree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or </w:t>
      </w:r>
      <w:r w:rsidDel="00000000" w:rsidR="00000000" w:rsidRPr="00000000">
        <w:rPr>
          <w:rtl w:val="0"/>
        </w:rPr>
        <w:t xml:space="preserve">equivalent combination of education, training, and experience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working within Chicago-based community health or service agency;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before="0" w:beforeAutospacing="0" w:line="251.99904441833496" w:lineRule="auto"/>
        <w:ind w:left="450" w:right="12.896728515625" w:hanging="36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Understanding and/or experience with community-engaged research project or partnerships and/or in university/academic setting. </w:t>
      </w:r>
    </w:p>
    <w:p w:rsidR="00000000" w:rsidDel="00000000" w:rsidP="00000000" w:rsidRDefault="00000000" w:rsidRPr="00000000" w14:paraId="0000001D">
      <w:pPr>
        <w:widowControl w:val="0"/>
        <w:spacing w:before="0" w:line="240" w:lineRule="auto"/>
        <w:ind w:left="17.42889404296875" w:right="1119.781494140625" w:hanging="12.4798583984375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237.94677734375" w:line="240" w:lineRule="auto"/>
        <w:ind w:left="17.42889404296875" w:right="1119.781494140625" w:hanging="12.47985839843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 Logistics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spacing w:after="0" w:afterAutospacing="0" w:before="80" w:line="240" w:lineRule="auto"/>
        <w:ind w:left="450" w:right="1119.781494140625" w:hanging="360"/>
        <w:rPr>
          <w:u w:val="none"/>
        </w:rPr>
      </w:pPr>
      <w:r w:rsidDel="00000000" w:rsidR="00000000" w:rsidRPr="00000000">
        <w:rPr>
          <w:rtl w:val="0"/>
        </w:rPr>
        <w:t xml:space="preserve">Compensation midpoint: </w:t>
      </w:r>
      <w:r w:rsidDel="00000000" w:rsidR="00000000" w:rsidRPr="00000000">
        <w:rPr>
          <w:rtl w:val="0"/>
        </w:rPr>
        <w:t xml:space="preserve">$60,000</w:t>
      </w:r>
      <w:r w:rsidDel="00000000" w:rsidR="00000000" w:rsidRPr="00000000">
        <w:rPr>
          <w:rtl w:val="0"/>
        </w:rPr>
        <w:t xml:space="preserve">. Compensation will be commensurate with years of experience, expertise and community leadership experience.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450" w:right="1119.781494140625" w:hanging="360"/>
        <w:rPr>
          <w:u w:val="none"/>
        </w:rPr>
      </w:pPr>
      <w:r w:rsidDel="00000000" w:rsidR="00000000" w:rsidRPr="00000000">
        <w:rPr>
          <w:rtl w:val="0"/>
        </w:rPr>
        <w:t xml:space="preserve">This position reports to Shehara Waas, ARCC Community Co-Director.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4"/>
        </w:numPr>
        <w:spacing w:before="0" w:beforeAutospacing="0" w:line="240" w:lineRule="auto"/>
        <w:ind w:left="450" w:right="1119.781494140625" w:hanging="360"/>
        <w:rPr>
          <w:u w:val="none"/>
        </w:rPr>
      </w:pPr>
      <w:r w:rsidDel="00000000" w:rsidR="00000000" w:rsidRPr="00000000">
        <w:rPr>
          <w:rtl w:val="0"/>
        </w:rPr>
        <w:t xml:space="preserve">Location: </w:t>
      </w:r>
      <w:r w:rsidDel="00000000" w:rsidR="00000000" w:rsidRPr="00000000">
        <w:rPr>
          <w:rtl w:val="0"/>
        </w:rPr>
        <w:t xml:space="preserve">This position works primarily off-campus</w:t>
      </w:r>
      <w:r w:rsidDel="00000000" w:rsidR="00000000" w:rsidRPr="00000000">
        <w:rPr>
          <w:rtl w:val="0"/>
        </w:rPr>
        <w:t xml:space="preserve"> and remotely, across a broad range of Chicagoland communities. Requires personal vehicle for transportation. The office location is at 750 N Lake Shore Drive, Rubloff Building, 6th Floor. </w:t>
      </w:r>
    </w:p>
    <w:p w:rsidR="00000000" w:rsidDel="00000000" w:rsidP="00000000" w:rsidRDefault="00000000" w:rsidRPr="00000000" w14:paraId="00000022">
      <w:pPr>
        <w:widowControl w:val="0"/>
        <w:spacing w:before="237.94677734375" w:line="240" w:lineRule="auto"/>
        <w:ind w:left="17.42889404296875" w:right="1119.781494140625" w:hanging="12.4798583984375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6120854</wp:posOffset>
            </wp:positionH>
            <wp:positionV relativeFrom="page">
              <wp:posOffset>142875</wp:posOffset>
            </wp:positionV>
            <wp:extent cx="1443311" cy="56197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311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To apply: </w:t>
      </w:r>
      <w:r w:rsidDel="00000000" w:rsidR="00000000" w:rsidRPr="00000000">
        <w:rPr>
          <w:sz w:val="24"/>
          <w:szCs w:val="24"/>
          <w:rtl w:val="0"/>
        </w:rPr>
        <w:t xml:space="preserve">See full job post and apply at:</w:t>
      </w:r>
      <w:hyperlink r:id="rId15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https://www.northwestern.edu/hr/careers/</w:t>
        </w:r>
      </w:hyperlink>
      <w:r w:rsidDel="00000000" w:rsidR="00000000" w:rsidRPr="00000000">
        <w:rPr>
          <w:sz w:val="24"/>
          <w:szCs w:val="24"/>
          <w:rtl w:val="0"/>
        </w:rPr>
        <w:t xml:space="preserve"> (Search job opening ID 45899)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237.94677734375" w:line="240" w:lineRule="auto"/>
        <w:ind w:left="17.42889404296875" w:right="1119.781494140625" w:hanging="12.4798583984375"/>
        <w:rPr>
          <w:color w:val="0563c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For questions, please contact ARCC at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ARCC@northwestern.edu</w:t>
        </w:r>
      </w:hyperlink>
      <w:r w:rsidDel="00000000" w:rsidR="00000000" w:rsidRPr="00000000">
        <w:rPr>
          <w:color w:val="0563c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563c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color w:val="0563c1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For more info: </w:t>
      </w: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www.ARCConline.net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pict>
        <v:shape id="PowerPlusWaterMarkObject1" style="position:absolute;width:128.79403486711908pt;height:533.0579123234893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 " style="font-family:&amp;quot;Arial&amp;quot;;font-size:1pt;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-342899</wp:posOffset>
          </wp:positionV>
          <wp:extent cx="2400300" cy="614711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0300" cy="61471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einberg.northwestern.edu/sites/cch/about/principles-of-engagement.html" TargetMode="External"/><Relationship Id="rId10" Type="http://schemas.openxmlformats.org/officeDocument/2006/relationships/hyperlink" Target="https://www.nucats.northwestern.edu/" TargetMode="External"/><Relationship Id="rId13" Type="http://schemas.openxmlformats.org/officeDocument/2006/relationships/hyperlink" Target="https://www.feinberg.northwestern.edu/sites/cch/about/principles-of-engagement.html" TargetMode="External"/><Relationship Id="rId12" Type="http://schemas.openxmlformats.org/officeDocument/2006/relationships/hyperlink" Target="https://www.feinberg.northwestern.edu/sites/cch/about/principles-of-engagement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einberg.northwestern.edu/sites/ipham/" TargetMode="External"/><Relationship Id="rId15" Type="http://schemas.openxmlformats.org/officeDocument/2006/relationships/hyperlink" Target="https://www.northwestern.edu/hr/careers/" TargetMode="External"/><Relationship Id="rId14" Type="http://schemas.openxmlformats.org/officeDocument/2006/relationships/hyperlink" Target="https://docs.google.com/document/d/17a7m_SPsTupX_oJSc5fcGGCt4ArHxsdvb7twF27e6ck/edit" TargetMode="External"/><Relationship Id="rId17" Type="http://schemas.openxmlformats.org/officeDocument/2006/relationships/hyperlink" Target="mailto:sheharawaas@northwestern.edu" TargetMode="External"/><Relationship Id="rId16" Type="http://schemas.openxmlformats.org/officeDocument/2006/relationships/hyperlink" Target="https://www.northwestern.edu/hr/careers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1.png"/><Relationship Id="rId18" Type="http://schemas.openxmlformats.org/officeDocument/2006/relationships/hyperlink" Target="http://www.arcconline.net" TargetMode="External"/><Relationship Id="rId7" Type="http://schemas.openxmlformats.org/officeDocument/2006/relationships/hyperlink" Target="http://ww.arcconline.net" TargetMode="External"/><Relationship Id="rId8" Type="http://schemas.openxmlformats.org/officeDocument/2006/relationships/hyperlink" Target="https://www.feinberg.northwestern.edu/sites/cch/index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